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Mátejová</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Alena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univ. doc. </w:t>
            </w:r>
            <w:r>
              <w:rPr>
                <w:rFonts w:eastAsia="Times New Roman" w:cs="Calibri"/>
                <w:color w:val="000000"/>
                <w:sz w:val="16"/>
                <w:szCs w:val="16"/>
                <w:lang w:val="en-US" w:eastAsia="sk-SK"/>
              </w:rPr>
              <w:t>JUDr., PhD., MHA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https://www.portalvs.sk/regzam/detail/20698</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vedecký výstup/scientific output</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2020</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color w:val="000000"/>
                <w:sz w:val="16"/>
                <w:szCs w:val="16"/>
                <w:lang w:eastAsia="sk-SK"/>
              </w:rPr>
            </w:pPr>
            <w:r>
              <w:rPr>
                <w:rFonts w:cs="Calibri" w:cstheme="minorHAnsi"/>
                <w:color w:val="333333"/>
                <w:sz w:val="16"/>
                <w:szCs w:val="16"/>
                <w:shd w:fill="FFFFFF" w:val="clear"/>
              </w:rPr>
              <w:t>ID: 216072</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sz w:val="16"/>
                <w:szCs w:val="16"/>
                <w:lang w:eastAsia="sk-SK"/>
              </w:rPr>
            </w:pPr>
            <w:hyperlink r:id="rId2" w:tgtFrame="_blank">
              <w:r>
                <w:rPr>
                  <w:rStyle w:val="Internetovodkaz"/>
                  <w:rFonts w:cs="Helvetica" w:ascii="Helvetica" w:hAnsi="Helvetica"/>
                  <w:color w:val="2F1713"/>
                  <w:sz w:val="16"/>
                  <w:szCs w:val="16"/>
                  <w:shd w:fill="F5F5F5" w:val="clear"/>
                </w:rPr>
                <w:t>https://app.crepc.sk/?fn=detailBiblioForm&amp;sid=BD296F5EC4834473399997FAC5</w:t>
              </w:r>
            </w:hyperlink>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color w:val="000000"/>
                <w:sz w:val="16"/>
                <w:szCs w:val="16"/>
                <w:lang w:eastAsia="sk-SK"/>
              </w:rPr>
            </w:pPr>
            <w:r>
              <w:rPr>
                <w:rStyle w:val="Strong"/>
                <w:rFonts w:cs="Calibri" w:cstheme="minorHAnsi"/>
                <w:sz w:val="16"/>
                <w:szCs w:val="16"/>
              </w:rPr>
              <w:t>Zero Covid-19 incidence among two large shelters of homeless population in rural settlement- in march-to july 2020: An important role of partial lockdown</w:t>
            </w:r>
            <w:r>
              <w:rPr>
                <w:rFonts w:cs="Calibri" w:cstheme="minorHAnsi"/>
                <w:color w:val="333333"/>
                <w:sz w:val="16"/>
                <w:szCs w:val="16"/>
                <w:shd w:fill="FFFFFF" w:val="clear"/>
              </w:rPr>
              <w:t> / Maszlak, Vladimír [Autor, 6.25%] ; Zemko, Pavol [Autor, 6.25%] ; Herdics, György [Autor, 6.25%] ; Jurašek, Martin [Autor, 6.25%] ; Pavlovičová, Anna [Autor, 6.25%] ; Radi, František [Autor, 6.25%] ; Bundzelová, Katarína [Autor, 6.25%] ; Kostičová, Michaela [Autor, 6.25%] ; Zábavová, Silvia [Autor, 6.25%] ; Gombita, Peter [Autor, 6.25%] ; Fabian, Anton [Autor, 6.25%] ; Mátejová, Alena [Autor, 6.25%] ; Laca, Peter [Autor, 6.25%] ; Valach, Michal [Autor, 6.25%] ; Schavel, Milan [Autor, 6.25%] ; Tonzar, David [Korešpondenčný autor, 6.25%]. – SCOPUS</w:t>
            </w:r>
            <w:r>
              <w:rPr>
                <w:rFonts w:cs="Calibri" w:cstheme="minorHAnsi"/>
                <w:color w:val="333333"/>
                <w:sz w:val="16"/>
                <w:szCs w:val="16"/>
              </w:rPr>
              <w:br/>
            </w:r>
            <w:r>
              <w:rPr>
                <w:rFonts w:cs="Calibri" w:cstheme="minorHAnsi"/>
                <w:b/>
                <w:bCs/>
                <w:color w:val="333333"/>
                <w:sz w:val="16"/>
                <w:szCs w:val="16"/>
                <w:shd w:fill="FFFFFF" w:val="clear"/>
              </w:rPr>
              <w:t>In:</w:t>
            </w:r>
            <w:r>
              <w:rPr>
                <w:rFonts w:cs="Calibri" w:cstheme="minorHAnsi"/>
                <w:color w:val="333333"/>
                <w:sz w:val="16"/>
                <w:szCs w:val="16"/>
                <w:shd w:fill="FFFFFF" w:val="clear"/>
              </w:rPr>
              <w:t> </w:t>
            </w:r>
            <w:r>
              <w:rPr>
                <w:rFonts w:cs="Calibri" w:cstheme="minorHAnsi"/>
                <w:i/>
                <w:iCs/>
                <w:color w:val="333333"/>
                <w:sz w:val="16"/>
                <w:szCs w:val="16"/>
                <w:shd w:fill="FFFFFF" w:val="clear"/>
              </w:rPr>
              <w:t>Lekársky obzor</w:t>
            </w:r>
            <w:r>
              <w:rPr>
                <w:rFonts w:cs="Calibri" w:cstheme="minorHAnsi"/>
                <w:color w:val="333333"/>
                <w:sz w:val="16"/>
                <w:szCs w:val="16"/>
                <w:shd w:fill="FFFFFF" w:val="clear"/>
              </w:rPr>
              <w:t> [textový dokument (print)] [elektronický dokument] : odborný časopis Slovenskej zdravotníckej univerzity v Bratislave. – Bratislava (Slovensko) : Herba, Bratislava (Slovensko) : Slovenská zdravotnícka univerzita v Bratislave. – ISSN 0457-4214. – ISSN (zrušené) 0322-9203. – Roč. 69, č. 11 (2020), s. 379-380 [tlačená forma] [online]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V3 (ADN)</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Podial autora - Autorský vklad 6,25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tabs>
                <w:tab w:val="clear" w:pos="708"/>
                <w:tab w:val="left" w:pos="2370" w:leader="none"/>
              </w:tabs>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Poukazujeme na stratégiu čiastočného blokovania a zabránenie importu tejto prenosnej a vysoko nákazlivej choroby do dvoch veľkých útulkov pre bezdomovcov. Bezdomovci, sociálne zariadenia pre duševne chorých a domovy dôchodcov boli ohrozené nekontrolovaným  šírením ochorenia Covid-19 v Európe./</w:t>
            </w:r>
            <w:r>
              <w:rPr/>
              <w:t xml:space="preserve"> </w:t>
            </w:r>
            <w:r>
              <w:rPr>
                <w:rFonts w:eastAsia="Times New Roman" w:cs="Calibri"/>
                <w:color w:val="000000"/>
                <w:sz w:val="16"/>
                <w:szCs w:val="16"/>
                <w:lang w:eastAsia="sk-SK"/>
              </w:rPr>
              <w:t>We point to a strategy of partially blocking and preventing the importation of this transmissible and highly contagious disease into two large homeless shelters. The homeless, social facilities for the mentally ill and retirement homes have been threatened by the uncontrolled spread of the Covid-19 disease in Europe.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eastAsia="Times New Roman" w:cs="Calibri" w:cstheme="minorHAnsi"/>
                <w:color w:val="000000" w:themeColor="text1"/>
                <w:sz w:val="16"/>
                <w:szCs w:val="16"/>
                <w:lang w:eastAsia="sk-SK"/>
              </w:rPr>
            </w:pPr>
            <w:r>
              <w:rPr>
                <w:rFonts w:cs="Calibri"/>
                <w:color w:val="000000" w:themeColor="text1"/>
                <w:sz w:val="16"/>
                <w:szCs w:val="16"/>
                <w:shd w:fill="FFFFFF" w:val="clear"/>
              </w:rPr>
              <w:t>Homeless population, social shelters mental facilities and elderly nursing homes ate at risk for uncontrolled local spread ov Covid-19 disease in Europe. Here we present a partial lockdown strategy to prevent the import of this communicable</w:t>
            </w:r>
            <w:r>
              <w:rPr>
                <w:rFonts w:cs="Calibri" w:cstheme="minorHAnsi"/>
                <w:color w:val="000000" w:themeColor="text1"/>
                <w:sz w:val="16"/>
                <w:szCs w:val="16"/>
                <w:shd w:fill="FFFFFF" w:val="clear"/>
              </w:rPr>
              <w:t xml:space="preserve"> and highly contagious disease to two large shelters for homeless, as rural  satellites serving for two major cities with population of  more than 100 thousand with a partial lockdown strategy resulting to zero incidence within the major period of pandemics from march to july.</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rPr>
                <w:sz w:val="16"/>
                <w:szCs w:val="16"/>
              </w:rPr>
            </w:pPr>
            <w:r>
              <w:rPr>
                <w:sz w:val="16"/>
                <w:szCs w:val="16"/>
              </w:rPr>
              <w:t>1) Simonek, T., Zahos, H., Hughes, K.M., Harkensee, C., Mahroof-Shaffi, S. IVERMECTIN SINGLE DOSE VERSUS BENZYL</w:t>
            </w:r>
            <w:r>
              <w:rPr/>
              <w:t xml:space="preserve"> </w:t>
            </w:r>
            <w:r>
              <w:rPr>
                <w:sz w:val="16"/>
                <w:szCs w:val="16"/>
              </w:rPr>
              <w:t xml:space="preserve">BENZOATE TWO APPLICATION FOR SCABIES MASS TREATMENT IN UNHCR REFUGEE CAMP OF LESVOS ISLAND. A RETROSPECTIVE COHORT STUDY [IVERMEKTÍN JEDNA DÁVKA VERZUS BENZYL BENZOÁT DVE DÁVKY PRI CELOPLOŠNEJ LIEČBE SVRABU V UTEČENECKOM TÁBORE UNHCR NA OSTROVE LESBOS. Retrospektívna kohortová štúdia] (2021) Lekarsky Obzor, 70 (12), pp. 469-473. 2-s2.0-85122957583 Document Type: Article Publication Stage: Final Source: Scopus </w:t>
            </w:r>
          </w:p>
          <w:p>
            <w:pPr>
              <w:pStyle w:val="Normal"/>
              <w:widowControl w:val="false"/>
              <w:spacing w:before="0" w:after="0"/>
              <w:rPr>
                <w:sz w:val="16"/>
                <w:szCs w:val="16"/>
              </w:rPr>
            </w:pPr>
            <w:r>
              <w:rPr>
                <w:sz w:val="16"/>
                <w:szCs w:val="16"/>
              </w:rPr>
            </w:r>
          </w:p>
          <w:p>
            <w:pPr>
              <w:pStyle w:val="Normal"/>
              <w:widowControl w:val="false"/>
              <w:spacing w:before="0" w:after="0"/>
              <w:rPr>
                <w:sz w:val="16"/>
                <w:szCs w:val="16"/>
              </w:rPr>
            </w:pPr>
            <w:r>
              <w:rPr>
                <w:sz w:val="16"/>
                <w:szCs w:val="16"/>
              </w:rPr>
              <w:t xml:space="preserve">2) Bielova, M., Maslak, V., Gombita, P., Laca, P., Krcmery, V., Giertliova, D., Vrankova, E., Igliarova, B., Matel, A., Roman, L., Kozon, V., Czarneczki, P., Hochman, R. Relative Low Incidence of Post-Covid Syndrome in Homeless Infected During Second Wave in Spring 2021 During Covid-19 [Relatívne nízka incidencia nost-COVlD-syndrúmu u bezdomovcov počas druhej vlny COVID-19 na jar 2021] (2021) Lekarsky Obzor, 70 (12), pp. 454-456. 2-s2.0-85121388043 Document Type: Article Publication Stage: Final Source: Scopus </w:t>
            </w:r>
          </w:p>
          <w:p>
            <w:pPr>
              <w:pStyle w:val="Normal"/>
              <w:widowControl w:val="false"/>
              <w:spacing w:before="0" w:after="0"/>
              <w:rPr>
                <w:sz w:val="16"/>
                <w:szCs w:val="16"/>
              </w:rPr>
            </w:pPr>
            <w:r>
              <w:rPr>
                <w:sz w:val="16"/>
                <w:szCs w:val="16"/>
              </w:rPr>
            </w:r>
          </w:p>
          <w:p>
            <w:pPr>
              <w:pStyle w:val="Normal"/>
              <w:widowControl w:val="false"/>
              <w:spacing w:before="0" w:after="0"/>
              <w:rPr>
                <w:sz w:val="16"/>
                <w:szCs w:val="16"/>
              </w:rPr>
            </w:pPr>
            <w:r>
              <w:rPr>
                <w:sz w:val="16"/>
                <w:szCs w:val="16"/>
              </w:rPr>
              <w:t>3) Miklosko, J., Hochman, R., Gombita, P., Maszlak, V., Krcmery, V., Czarnecki, P., Pavlovicova, A., Bosnakova, M., Sladeckova, V., Kovac, R., Taziarova, M., Zemko, P., Matejova, A., Drgova, J., Roman, L., Roman, T., Bucko, L., Vrankova, E., Valach, M., Magyarova, G., Bozik, J., Bernadic, M., Matulnik, J., Trilisinskaja, J., Bujdova, N. Unexpected Low Mortality on Covid-19 in Homeless During Spring Wave 2021 [Prekvapivo nízka mortalita bezdomovcov na kovidovú infekciu počas jarnej vlny 2021] (2021) Lekarsky Obzor, 70 (12), pp. 490-492. 2-s2.0-85121348978 Document Type: Article Publication Stage: Final Source: Scopus</w:t>
            </w:r>
          </w:p>
          <w:p>
            <w:pPr>
              <w:pStyle w:val="Normal"/>
              <w:widowControl w:val="false"/>
              <w:spacing w:before="0" w:after="0"/>
              <w:rPr>
                <w:sz w:val="16"/>
                <w:szCs w:val="16"/>
              </w:rPr>
            </w:pPr>
            <w:r>
              <w:rPr>
                <w:sz w:val="16"/>
                <w:szCs w:val="16"/>
              </w:rPr>
            </w:r>
          </w:p>
          <w:p>
            <w:pPr>
              <w:pStyle w:val="Normal"/>
              <w:widowControl w:val="false"/>
              <w:spacing w:before="0" w:after="0"/>
              <w:rPr>
                <w:rFonts w:ascii="Trebuchet MS" w:hAnsi="Trebuchet MS" w:eastAsia="SimSun" w:cs="Trebuchet MS"/>
                <w:color w:val="212529"/>
                <w:sz w:val="16"/>
                <w:szCs w:val="16"/>
                <w:shd w:fill="FFFFFF" w:val="clear"/>
                <w:lang w:eastAsia="sk-SK"/>
              </w:rPr>
            </w:pPr>
            <w:r>
              <w:rPr>
                <w:rFonts w:eastAsia="SimSun"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Má význam pre štátnu správu, samosprávu, zariadenia sociálnych služieb, zamestnávateľov, absolventov a aj pre pracoviská praxe.  </w:t>
            </w:r>
            <w:bookmarkStart w:id="1" w:name="_GoBack"/>
            <w:bookmarkEnd w:id="1"/>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It is important for state administration, local government, social service facilities, employers, graduates and also for practice workplaces.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2" w:name="_Hlk110257706"/>
            <w:bookmarkStart w:id="3" w:name="_Hlk110257706"/>
            <w:bookmarkEnd w:id="3"/>
          </w:p>
        </w:tc>
      </w:tr>
    </w:tbl>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Segoe UI">
    <w:charset w:val="ee"/>
    <w:family w:val="roman"/>
    <w:pitch w:val="variable"/>
  </w:font>
  <w:font w:name="Liberation Sans">
    <w:altName w:val="Arial"/>
    <w:charset w:val="ee"/>
    <w:family w:val="swiss"/>
    <w:pitch w:val="variable"/>
  </w:font>
  <w:font w:name="Times New Roman">
    <w:charset w:val="ee"/>
    <w:family w:val="roman"/>
    <w:pitch w:val="variable"/>
  </w:font>
  <w:font w:name="Helvetica">
    <w:altName w:val="Arial"/>
    <w:charset w:val="ee"/>
    <w:family w:val="roman"/>
    <w:pitch w:val="variable"/>
  </w:font>
  <w:font w:name="Trebuchet MS">
    <w:charset w:val="ee"/>
    <w:family w:val="roman"/>
    <w:pitch w:val="variable"/>
  </w:font>
</w:fonts>
</file>

<file path=word/settings.xml><?xml version="1.0" encoding="utf-8"?>
<w:settings xmlns:w="http://schemas.openxmlformats.org/wordprocessingml/2006/main">
  <w:zoom w:percent="196"/>
  <w:defaultTabStop w:val="708"/>
  <w:autoHyphenation w:val="true"/>
  <w:compat>
    <w:compatSetting w:name="compatibilityMode" w:uri="http://schemas.microsoft.com/office/word" w:val="12"/>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36d4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character" w:styleId="DefaultParagraphFont" w:default="1">
    <w:name w:val="Default Paragraph Font"/>
    <w:uiPriority w:val="1"/>
    <w:semiHidden/>
    <w:unhideWhenUsed/>
    <w:qFormat/>
    <w:rPr/>
  </w:style>
  <w:style w:type="character" w:styleId="TextpoznmkypodiarouChar" w:customStyle="1">
    <w:name w:val="Text poznámky pod čiarou Char"/>
    <w:basedOn w:val="DefaultParagraphFont"/>
    <w:link w:val="Textpoznmkypodiarou"/>
    <w:uiPriority w:val="99"/>
    <w:qFormat/>
    <w:rsid w:val="00736d44"/>
    <w:rPr>
      <w:sz w:val="20"/>
      <w:szCs w:val="20"/>
    </w:rPr>
  </w:style>
  <w:style w:type="character" w:styleId="PredformtovanHTMLChar" w:customStyle="1">
    <w:name w:val="Predformátované HTML Char"/>
    <w:basedOn w:val="DefaultParagraphFont"/>
    <w:link w:val="PredformtovanHTML"/>
    <w:uiPriority w:val="99"/>
    <w:qFormat/>
    <w:rsid w:val="00736d44"/>
    <w:rPr>
      <w:rFonts w:ascii="SimSun" w:hAnsi="SimSun" w:eastAsia="SimSun" w:cs="Times New Roman"/>
      <w:sz w:val="24"/>
      <w:szCs w:val="24"/>
      <w:lang w:val="en-US" w:eastAsia="zh-CN"/>
    </w:rPr>
  </w:style>
  <w:style w:type="character" w:styleId="Strong">
    <w:name w:val="Strong"/>
    <w:basedOn w:val="DefaultParagraphFont"/>
    <w:uiPriority w:val="22"/>
    <w:qFormat/>
    <w:rsid w:val="000866ef"/>
    <w:rPr>
      <w:b/>
      <w:bCs/>
    </w:rPr>
  </w:style>
  <w:style w:type="character" w:styleId="Internetovodkaz">
    <w:name w:val="Internetový odkaz"/>
    <w:basedOn w:val="DefaultParagraphFont"/>
    <w:uiPriority w:val="99"/>
    <w:semiHidden/>
    <w:unhideWhenUsed/>
    <w:rsid w:val="00946931"/>
    <w:rPr>
      <w:color w:val="0000FF"/>
      <w:u w:val="single"/>
    </w:rPr>
  </w:style>
  <w:style w:type="character" w:styleId="Navtveninternetovodkaz">
    <w:name w:val="Navštívený internetový odkaz"/>
    <w:basedOn w:val="DefaultParagraphFont"/>
    <w:uiPriority w:val="99"/>
    <w:semiHidden/>
    <w:unhideWhenUsed/>
    <w:rsid w:val="00470b75"/>
    <w:rPr>
      <w:color w:val="954F72" w:themeColor="followedHyperlink"/>
      <w:u w:val="single"/>
    </w:rPr>
  </w:style>
  <w:style w:type="character" w:styleId="TextbublinyChar" w:customStyle="1">
    <w:name w:val="Text bubliny Char"/>
    <w:basedOn w:val="DefaultParagraphFont"/>
    <w:link w:val="Textbubliny"/>
    <w:uiPriority w:val="99"/>
    <w:semiHidden/>
    <w:qFormat/>
    <w:rsid w:val="00362b3a"/>
    <w:rPr>
      <w:rFonts w:ascii="Segoe UI" w:hAnsi="Segoe UI" w:cs="Segoe UI"/>
      <w:sz w:val="18"/>
      <w:szCs w:val="18"/>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736d44"/>
    <w:pPr>
      <w:spacing w:lineRule="auto" w:line="240" w:before="0" w:after="0"/>
    </w:pPr>
    <w:rPr>
      <w:sz w:val="20"/>
      <w:szCs w:val="20"/>
    </w:rPr>
  </w:style>
  <w:style w:type="paragraph" w:styleId="HTMLPreformatted">
    <w:name w:val="HTML Preformatted"/>
    <w:link w:val="PredformtovanHTMLChar"/>
    <w:uiPriority w:val="99"/>
    <w:unhideWhenUsed/>
    <w:qFormat/>
    <w:rsid w:val="00736d44"/>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lny1" w:customStyle="1">
    <w:name w:val="Normálny1"/>
    <w:qFormat/>
    <w:rsid w:val="00736d44"/>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BalloonText">
    <w:name w:val="Balloon Text"/>
    <w:basedOn w:val="Normal"/>
    <w:link w:val="TextbublinyChar"/>
    <w:uiPriority w:val="99"/>
    <w:semiHidden/>
    <w:unhideWhenUsed/>
    <w:qFormat/>
    <w:rsid w:val="00362b3a"/>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lnatabu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pp.crepc.sk/?fn=detailBiblioForm&amp;sid=BD296F5EC4834473399997FAC5"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Application>LibreOffice/7.0.4.2$Windows_X86_64 LibreOffice_project/dcf040e67528d9187c66b2379df5ea4407429775</Application>
  <AppVersion>15.0000</AppVersion>
  <Pages>2</Pages>
  <Words>1246</Words>
  <Characters>7249</Characters>
  <CharactersWithSpaces>8480</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2022-10-24T11:16:00Z</dcterms:created>
  <dc:creator>Libusa Radkova</dc:creator>
  <dc:description/>
  <dc:language>sk-SK</dc:language>
  <cp:lastModifiedBy>421908308914</cp:lastModifiedBy>
  <cp:lastPrinted>2022-10-24T11:12:00Z</cp:lastPrinted>
  <dcterms:modified xsi:type="dcterms:W3CDTF">2024-02-11T18:49:00Z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